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2：</w:t>
      </w:r>
    </w:p>
    <w:p>
      <w:pPr>
        <w:pStyle w:val="2"/>
        <w:spacing w:line="600" w:lineRule="exact"/>
        <w:jc w:val="center"/>
        <w:rPr>
          <w:rFonts w:hint="eastAsia" w:ascii="宋体" w:hAnsi="宋体" w:eastAsia="宋体"/>
          <w:b/>
          <w:sz w:val="36"/>
          <w:szCs w:val="44"/>
        </w:rPr>
      </w:pPr>
      <w:r>
        <w:rPr>
          <w:rFonts w:hint="eastAsia" w:ascii="宋体" w:hAnsi="宋体" w:eastAsia="宋体"/>
          <w:b/>
          <w:sz w:val="36"/>
          <w:szCs w:val="44"/>
        </w:rPr>
        <w:t>广东技术师范</w:t>
      </w:r>
      <w:r>
        <w:rPr>
          <w:rFonts w:hint="eastAsia" w:ascii="宋体" w:hAnsi="宋体" w:eastAsia="宋体"/>
          <w:b/>
          <w:sz w:val="36"/>
          <w:szCs w:val="44"/>
          <w:lang w:eastAsia="zh-CN"/>
        </w:rPr>
        <w:t>大学</w:t>
      </w:r>
      <w:r>
        <w:rPr>
          <w:rFonts w:hint="eastAsia" w:ascii="宋体" w:hAnsi="宋体" w:eastAsia="宋体"/>
          <w:b/>
          <w:sz w:val="36"/>
          <w:szCs w:val="44"/>
        </w:rPr>
        <w:t>第</w:t>
      </w:r>
      <w:r>
        <w:rPr>
          <w:rFonts w:hint="eastAsia" w:ascii="宋体" w:hAnsi="宋体" w:eastAsia="宋体"/>
          <w:b/>
          <w:sz w:val="36"/>
          <w:szCs w:val="44"/>
          <w:lang w:eastAsia="zh-CN"/>
        </w:rPr>
        <w:t>七</w:t>
      </w:r>
      <w:r>
        <w:rPr>
          <w:rFonts w:hint="eastAsia" w:ascii="宋体" w:hAnsi="宋体" w:eastAsia="宋体"/>
          <w:b/>
          <w:sz w:val="36"/>
          <w:szCs w:val="44"/>
        </w:rPr>
        <w:t>届教代会</w:t>
      </w:r>
    </w:p>
    <w:p>
      <w:pPr>
        <w:pStyle w:val="2"/>
        <w:spacing w:line="6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44"/>
        </w:rPr>
        <w:t>暨第</w:t>
      </w:r>
      <w:r>
        <w:rPr>
          <w:rFonts w:hint="eastAsia" w:ascii="宋体" w:hAnsi="宋体" w:eastAsia="宋体"/>
          <w:b/>
          <w:sz w:val="36"/>
          <w:szCs w:val="44"/>
          <w:lang w:eastAsia="zh-CN"/>
        </w:rPr>
        <w:t>八</w:t>
      </w:r>
      <w:r>
        <w:rPr>
          <w:rFonts w:hint="eastAsia" w:ascii="宋体" w:hAnsi="宋体" w:eastAsia="宋体"/>
          <w:b/>
          <w:sz w:val="36"/>
          <w:szCs w:val="44"/>
        </w:rPr>
        <w:t>届工代会第一次会议日程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eastAsia="zh-CN"/>
        </w:rPr>
        <w:t>草案</w:t>
      </w:r>
      <w:r>
        <w:rPr>
          <w:rFonts w:hint="eastAsia" w:ascii="仿宋_GB2312" w:eastAsia="仿宋_GB2312"/>
          <w:sz w:val="30"/>
          <w:szCs w:val="30"/>
        </w:rPr>
        <w:t>）</w:t>
      </w:r>
    </w:p>
    <w:tbl>
      <w:tblPr>
        <w:tblStyle w:val="3"/>
        <w:tblW w:w="9422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4883"/>
        <w:gridCol w:w="975"/>
        <w:gridCol w:w="127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时间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会议内容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主持人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参加人员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57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4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月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18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星期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四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7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1"/>
              </w:rPr>
              <w:t>午</w:t>
            </w:r>
          </w:p>
        </w:tc>
        <w:tc>
          <w:tcPr>
            <w:tcW w:w="4883" w:type="dxa"/>
            <w:noWrap w:val="0"/>
            <w:vAlign w:val="top"/>
          </w:tcPr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（一）预备会议（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45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）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1、报告大会筹备工作情况；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2、听取“双代会”代表资格审查报告；</w:t>
            </w:r>
          </w:p>
          <w:p>
            <w:pPr>
              <w:spacing w:line="340" w:lineRule="exact"/>
              <w:ind w:left="364" w:hanging="360" w:hangingChars="150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通过</w:t>
            </w:r>
            <w:r>
              <w:rPr>
                <w:rFonts w:hint="eastAsia" w:ascii="仿宋_GB2312" w:eastAsia="仿宋_GB2312"/>
                <w:sz w:val="24"/>
                <w:szCs w:val="21"/>
              </w:rPr>
              <w:t>各代表团正、副团长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建议</w:t>
            </w:r>
            <w:r>
              <w:rPr>
                <w:rFonts w:hint="eastAsia" w:ascii="仿宋_GB2312" w:eastAsia="仿宋_GB2312"/>
                <w:sz w:val="24"/>
                <w:szCs w:val="21"/>
              </w:rPr>
              <w:t>名单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4、通过大会主席团成员、正副秘书长建议名单；</w:t>
            </w:r>
          </w:p>
          <w:p>
            <w:pPr>
              <w:spacing w:line="340" w:lineRule="exact"/>
              <w:rPr>
                <w:rFonts w:hint="eastAsia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5、通过大会议程（草案）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。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正式</w:t>
            </w:r>
            <w:r>
              <w:rPr>
                <w:rFonts w:hint="eastAsia" w:ascii="仿宋_GB2312" w:eastAsia="仿宋_GB2312"/>
                <w:sz w:val="24"/>
                <w:szCs w:val="21"/>
              </w:rPr>
              <w:t>代表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讲学厅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（校本部</w:t>
            </w:r>
            <w:r>
              <w:rPr>
                <w:rFonts w:hint="eastAsia" w:ascii="仿宋_GB2312" w:eastAsia="仿宋_GB2312"/>
                <w:sz w:val="24"/>
                <w:szCs w:val="21"/>
              </w:rPr>
              <w:t>第一教学楼208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室</w:t>
            </w:r>
            <w:r>
              <w:rPr>
                <w:rFonts w:hint="eastAsia" w:ascii="仿宋_GB2312" w:eastAsia="仿宋_GB2312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（二）主席团第一次会议（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55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0）</w:t>
            </w:r>
          </w:p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1、通过大会日程（草案）；</w:t>
            </w:r>
          </w:p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2、通过列席人员、特邀人员名单；</w:t>
            </w:r>
          </w:p>
          <w:p>
            <w:pPr>
              <w:spacing w:line="340" w:lineRule="exact"/>
              <w:ind w:left="364" w:hanging="360" w:hangingChars="150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、讨论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通过</w:t>
            </w:r>
            <w:r>
              <w:rPr>
                <w:rFonts w:hint="eastAsia" w:ascii="仿宋_GB2312" w:eastAsia="仿宋_GB2312"/>
                <w:sz w:val="24"/>
                <w:szCs w:val="21"/>
              </w:rPr>
              <w:t>“两委”委员候选人预备人选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建议</w:t>
            </w:r>
            <w:r>
              <w:rPr>
                <w:rFonts w:hint="eastAsia" w:ascii="仿宋_GB2312" w:eastAsia="仿宋_GB2312"/>
                <w:sz w:val="24"/>
                <w:szCs w:val="21"/>
              </w:rPr>
              <w:t>名单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、讨论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审议</w:t>
            </w:r>
            <w:r>
              <w:rPr>
                <w:rFonts w:hint="eastAsia" w:ascii="仿宋_GB2312" w:eastAsia="仿宋_GB2312"/>
                <w:sz w:val="24"/>
                <w:szCs w:val="21"/>
              </w:rPr>
              <w:t>《“两委”委员选举办法（草案）》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。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主席团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成 员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计算机科学学院会议室（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1"/>
              </w:rPr>
              <w:t>本部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第一教学楼</w:t>
            </w:r>
            <w:r>
              <w:rPr>
                <w:rFonts w:hint="eastAsia" w:ascii="仿宋_GB2312" w:eastAsia="仿宋_GB2312"/>
                <w:sz w:val="24"/>
                <w:szCs w:val="21"/>
              </w:rPr>
              <w:t>1212室）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88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sz w:val="11"/>
                <w:szCs w:val="11"/>
              </w:rPr>
            </w:pPr>
          </w:p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（三）大会开幕（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0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0）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1、宣布大会开幕，奏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唱</w:t>
            </w:r>
            <w:r>
              <w:rPr>
                <w:rFonts w:hint="eastAsia" w:ascii="仿宋_GB2312" w:eastAsia="仿宋_GB2312"/>
                <w:sz w:val="24"/>
                <w:szCs w:val="21"/>
              </w:rPr>
              <w:t>《国歌》；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2、党委书记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凌靖波</w:t>
            </w:r>
            <w:r>
              <w:rPr>
                <w:rFonts w:hint="eastAsia" w:ascii="仿宋_GB2312" w:eastAsia="仿宋_GB2312"/>
                <w:sz w:val="24"/>
                <w:szCs w:val="21"/>
              </w:rPr>
              <w:t>致开幕词；</w:t>
            </w: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3、</w:t>
            </w:r>
            <w:r>
              <w:rPr>
                <w:rFonts w:hint="eastAsia" w:ascii="仿宋_GB2312" w:eastAsia="仿宋_GB2312"/>
                <w:color w:val="auto"/>
                <w:sz w:val="24"/>
                <w:szCs w:val="21"/>
              </w:rPr>
              <w:t>上级领导致辞；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1"/>
              </w:rPr>
              <w:t>长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骆少明</w:t>
            </w:r>
            <w:r>
              <w:rPr>
                <w:rFonts w:hint="eastAsia" w:ascii="仿宋_GB2312" w:eastAsia="仿宋_GB2312"/>
                <w:sz w:val="24"/>
                <w:szCs w:val="21"/>
              </w:rPr>
              <w:t>作学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2018年度</w:t>
            </w:r>
            <w:r>
              <w:rPr>
                <w:rFonts w:hint="eastAsia" w:ascii="仿宋_GB2312" w:eastAsia="仿宋_GB2312"/>
                <w:sz w:val="24"/>
                <w:szCs w:val="21"/>
              </w:rPr>
              <w:t>工作报告；</w:t>
            </w:r>
          </w:p>
          <w:p>
            <w:pPr>
              <w:spacing w:line="340" w:lineRule="exact"/>
              <w:ind w:left="240" w:hanging="240" w:hangingChars="100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副校长潘自勉作《广东技术师范大学章程》修订说明；</w:t>
            </w:r>
          </w:p>
          <w:p>
            <w:pPr>
              <w:spacing w:line="340" w:lineRule="exact"/>
              <w:ind w:left="364" w:hanging="360" w:hangingChars="150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、副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1"/>
              </w:rPr>
              <w:t>长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黄秋文</w:t>
            </w:r>
            <w:r>
              <w:rPr>
                <w:rFonts w:hint="eastAsia" w:ascii="仿宋_GB2312" w:eastAsia="仿宋_GB2312"/>
                <w:sz w:val="24"/>
                <w:szCs w:val="21"/>
              </w:rPr>
              <w:t>作学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1"/>
              </w:rPr>
              <w:t>201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1"/>
              </w:rPr>
              <w:t>年度财务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  <w:szCs w:val="21"/>
              </w:rPr>
              <w:t>报告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；</w:t>
            </w:r>
          </w:p>
          <w:p>
            <w:pPr>
              <w:spacing w:line="340" w:lineRule="exact"/>
              <w:ind w:left="364" w:hanging="360" w:hangingChars="150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7、副校长黄秋文作学校2019年财务预算（草案）制定说明；</w:t>
            </w:r>
          </w:p>
          <w:p>
            <w:pPr>
              <w:spacing w:line="340" w:lineRule="exact"/>
              <w:ind w:left="364" w:hanging="360" w:hangingChars="150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8、人事处处长许竹君作《广东技术师范大学职称评审暂行办法》修订说明；</w:t>
            </w:r>
          </w:p>
          <w:p>
            <w:pPr>
              <w:spacing w:line="340" w:lineRule="exact"/>
              <w:ind w:left="364" w:hanging="360" w:hangingChars="150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、党委副书记、纪委书记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贺勇</w:t>
            </w:r>
            <w:r>
              <w:rPr>
                <w:rFonts w:hint="eastAsia" w:ascii="仿宋_GB2312" w:eastAsia="仿宋_GB2312"/>
                <w:sz w:val="24"/>
                <w:szCs w:val="21"/>
              </w:rPr>
              <w:t>作工会工作报告；</w:t>
            </w:r>
          </w:p>
          <w:p>
            <w:pPr>
              <w:spacing w:line="340" w:lineRule="exact"/>
              <w:ind w:left="364" w:hanging="360" w:hangingChars="15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、工会专职副主席丁纯杰作工会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2018年度</w:t>
            </w:r>
            <w:r>
              <w:rPr>
                <w:rFonts w:hint="eastAsia" w:ascii="仿宋_GB2312" w:eastAsia="仿宋_GB2312"/>
                <w:sz w:val="24"/>
                <w:szCs w:val="21"/>
              </w:rPr>
              <w:t>财务工作报告；</w:t>
            </w:r>
          </w:p>
          <w:p>
            <w:pPr>
              <w:spacing w:line="340" w:lineRule="exact"/>
              <w:ind w:left="364" w:hanging="360" w:hangingChars="150"/>
              <w:rPr>
                <w:rFonts w:hint="eastAsia"/>
                <w:b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提案工作委员会主任</w:t>
            </w:r>
            <w:r>
              <w:rPr>
                <w:rFonts w:hint="eastAsia" w:ascii="仿宋_GB2312" w:eastAsia="仿宋_GB2312"/>
                <w:sz w:val="24"/>
                <w:szCs w:val="21"/>
              </w:rPr>
              <w:t>方少武作提案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  <w:szCs w:val="21"/>
              </w:rPr>
              <w:t>报告。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正式代表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特邀代表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列席代表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讲学厅（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校本部</w:t>
            </w:r>
            <w:r>
              <w:rPr>
                <w:rFonts w:hint="eastAsia" w:ascii="仿宋_GB2312" w:eastAsia="仿宋_GB2312"/>
                <w:sz w:val="24"/>
                <w:szCs w:val="21"/>
              </w:rPr>
              <w:t>第一教学楼208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室</w:t>
            </w:r>
            <w:r>
              <w:rPr>
                <w:rFonts w:hint="eastAsia" w:ascii="仿宋_GB2312" w:eastAsia="仿宋_GB2312"/>
                <w:sz w:val="24"/>
                <w:szCs w:val="21"/>
              </w:rPr>
              <w:t>）</w:t>
            </w:r>
          </w:p>
          <w:p>
            <w:pPr>
              <w:rPr>
                <w:rFonts w:hint="eastAsia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55" w:tblpY="84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4912"/>
        <w:gridCol w:w="945"/>
        <w:gridCol w:w="129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　间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会    议    内　　容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主持人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</w:rPr>
              <w:t>参加人员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456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456" w:lineRule="auto"/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月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19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五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456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1"/>
              </w:rPr>
              <w:t>午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（一）代表团会议（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:30）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1"/>
              </w:rPr>
              <w:t>讨论学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2018年度</w:t>
            </w:r>
            <w:r>
              <w:rPr>
                <w:rFonts w:hint="eastAsia" w:ascii="仿宋_GB2312" w:eastAsia="仿宋_GB2312"/>
                <w:sz w:val="24"/>
                <w:szCs w:val="21"/>
              </w:rPr>
              <w:t>工作报告；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2、讨论</w:t>
            </w:r>
            <w:r>
              <w:rPr>
                <w:rFonts w:hint="eastAsia" w:ascii="仿宋_GB2312" w:eastAsia="仿宋_GB2312"/>
                <w:sz w:val="24"/>
                <w:szCs w:val="21"/>
              </w:rPr>
              <w:t>《广东技术师范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章程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（修订草案）</w:t>
            </w:r>
            <w:r>
              <w:rPr>
                <w:rFonts w:hint="eastAsia" w:ascii="仿宋_GB2312" w:eastAsia="仿宋_GB2312"/>
                <w:sz w:val="24"/>
                <w:szCs w:val="21"/>
              </w:rPr>
              <w:t>》；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、讨论学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1"/>
              </w:rPr>
              <w:t>201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1"/>
              </w:rPr>
              <w:t>年度财务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  <w:szCs w:val="21"/>
              </w:rPr>
              <w:t>报告；</w:t>
            </w:r>
          </w:p>
          <w:p>
            <w:pPr>
              <w:spacing w:line="360" w:lineRule="auto"/>
              <w:ind w:left="480" w:hanging="480" w:hangingChars="200"/>
              <w:jc w:val="left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4、讨论学校2019年度财务预算（草案）；</w:t>
            </w:r>
          </w:p>
          <w:p>
            <w:pPr>
              <w:spacing w:line="360" w:lineRule="auto"/>
              <w:ind w:left="480" w:hanging="480" w:hangingChars="200"/>
              <w:jc w:val="left"/>
              <w:rPr>
                <w:rFonts w:hint="default" w:ascii="仿宋_GB2312" w:eastAsia="仿宋_GB2312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1"/>
                <w:lang w:val="en-US" w:eastAsia="zh-CN"/>
              </w:rPr>
              <w:t>5、讨论《广东技术师范大学职称评审暂行办法（修订草案）》；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、讨论工会工作报告；</w:t>
            </w:r>
          </w:p>
          <w:p>
            <w:pPr>
              <w:spacing w:line="360" w:lineRule="auto"/>
              <w:ind w:left="243" w:hanging="240" w:hangingChars="10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、酝酿讨论新一届“两委”委员候选人预备人选名单；</w:t>
            </w:r>
          </w:p>
          <w:p>
            <w:pPr>
              <w:spacing w:line="360" w:lineRule="auto"/>
              <w:ind w:left="243" w:hanging="240" w:hangingChars="10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、讨论《“两委”委员选举办法（草案）》；</w:t>
            </w:r>
          </w:p>
          <w:p>
            <w:pPr>
              <w:spacing w:line="360" w:lineRule="auto"/>
              <w:ind w:left="480" w:hanging="480" w:hangingChars="200"/>
              <w:jc w:val="lef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、讨论总监票人、总计票人、监票人、计票人建议名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24"/>
                <w:szCs w:val="21"/>
              </w:rPr>
              <w:t>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各代表团团长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adjustRightInd w:val="0"/>
              <w:snapToGrid w:val="0"/>
              <w:spacing w:line="456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正式</w:t>
            </w:r>
            <w:r>
              <w:rPr>
                <w:rFonts w:hint="eastAsia" w:ascii="仿宋_GB2312" w:eastAsia="仿宋_GB2312"/>
                <w:sz w:val="24"/>
                <w:szCs w:val="21"/>
              </w:rPr>
              <w:t>代表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特邀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代表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列席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代表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详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见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代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表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团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讨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论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安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排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ind w:left="243" w:hanging="240" w:hangingChars="100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（二）主席团第二次会议（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12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0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0）</w:t>
            </w:r>
          </w:p>
          <w:p>
            <w:pPr>
              <w:spacing w:line="360" w:lineRule="auto"/>
              <w:ind w:left="243" w:hanging="240" w:hangingChars="10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1、听取各代表团讨论情况汇报；</w:t>
            </w:r>
          </w:p>
          <w:p>
            <w:pPr>
              <w:spacing w:line="360" w:lineRule="auto"/>
              <w:ind w:left="243" w:hanging="240" w:hangingChars="10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审议</w:t>
            </w:r>
            <w:r>
              <w:rPr>
                <w:rFonts w:hint="eastAsia" w:ascii="仿宋_GB2312" w:eastAsia="仿宋_GB2312"/>
                <w:sz w:val="24"/>
                <w:szCs w:val="21"/>
              </w:rPr>
              <w:t>《“两委”委员选举办法（草案）》；</w:t>
            </w:r>
          </w:p>
          <w:p>
            <w:pPr>
              <w:spacing w:line="360" w:lineRule="auto"/>
              <w:ind w:left="364" w:hanging="360" w:hangingChars="15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3、审议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大会</w:t>
            </w:r>
            <w:r>
              <w:rPr>
                <w:rFonts w:hint="eastAsia" w:ascii="仿宋_GB2312" w:eastAsia="仿宋_GB2312"/>
                <w:sz w:val="24"/>
                <w:szCs w:val="21"/>
              </w:rPr>
              <w:t>决议（草案）；</w:t>
            </w:r>
          </w:p>
          <w:p>
            <w:pPr>
              <w:spacing w:line="360" w:lineRule="auto"/>
              <w:ind w:left="364" w:hanging="360" w:hangingChars="15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审议</w:t>
            </w:r>
            <w:r>
              <w:rPr>
                <w:rFonts w:hint="eastAsia" w:ascii="仿宋_GB2312" w:eastAsia="仿宋_GB2312"/>
                <w:sz w:val="24"/>
                <w:szCs w:val="21"/>
              </w:rPr>
              <w:t>新一届“两委”委员候选人名单；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5、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审议</w:t>
            </w:r>
            <w:r>
              <w:rPr>
                <w:rFonts w:hint="eastAsia" w:ascii="仿宋_GB2312" w:eastAsia="仿宋_GB2312"/>
                <w:sz w:val="24"/>
                <w:szCs w:val="21"/>
              </w:rPr>
              <w:t>总监票人、总计票人、监票人、计票人建议名单。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勇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主席团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成 员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计算机科学学院会议室（校本部第一教学楼1212室）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9438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4896"/>
        <w:gridCol w:w="975"/>
        <w:gridCol w:w="12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　间</w:t>
            </w:r>
          </w:p>
        </w:tc>
        <w:tc>
          <w:tcPr>
            <w:tcW w:w="4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会    议    内　　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主持人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参加人员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7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1"/>
              </w:rPr>
              <w:t>月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19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星期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五</w:t>
            </w:r>
          </w:p>
        </w:tc>
        <w:tc>
          <w:tcPr>
            <w:tcW w:w="576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1"/>
              </w:rPr>
              <w:t>午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（一）大会选举（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45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left="243" w:hanging="240" w:hangingChars="10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1、通过“两委”委员选举办法；</w:t>
            </w:r>
          </w:p>
          <w:p>
            <w:pPr>
              <w:adjustRightInd w:val="0"/>
              <w:snapToGrid w:val="0"/>
              <w:spacing w:line="360" w:lineRule="auto"/>
              <w:ind w:left="243" w:hanging="240" w:hangingChars="10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2、通过大会总监票人、总计票人、监票人、计票人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建议</w:t>
            </w:r>
            <w:r>
              <w:rPr>
                <w:rFonts w:hint="eastAsia" w:ascii="仿宋_GB2312" w:eastAsia="仿宋_GB2312"/>
                <w:sz w:val="24"/>
                <w:szCs w:val="21"/>
              </w:rPr>
              <w:t>名单；</w:t>
            </w:r>
          </w:p>
          <w:p>
            <w:pPr>
              <w:adjustRightInd w:val="0"/>
              <w:snapToGrid w:val="0"/>
              <w:spacing w:line="360" w:lineRule="auto"/>
              <w:ind w:left="243" w:hanging="240" w:hangingChars="100"/>
              <w:rPr>
                <w:rFonts w:hint="eastAsia"/>
                <w:b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3、选举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新一届</w:t>
            </w:r>
            <w:r>
              <w:rPr>
                <w:rFonts w:hint="eastAsia" w:ascii="仿宋_GB2312" w:eastAsia="仿宋_GB2312"/>
                <w:sz w:val="24"/>
                <w:szCs w:val="21"/>
              </w:rPr>
              <w:t>工会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（教代会）</w:t>
            </w:r>
            <w:r>
              <w:rPr>
                <w:rFonts w:hint="eastAsia" w:ascii="仿宋_GB2312" w:eastAsia="仿宋_GB2312"/>
                <w:sz w:val="24"/>
                <w:szCs w:val="21"/>
              </w:rPr>
              <w:t>委员会、工会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经费审查委员</w:t>
            </w:r>
            <w:r>
              <w:rPr>
                <w:rFonts w:hint="eastAsia" w:ascii="仿宋_GB2312" w:eastAsia="仿宋_GB2312"/>
                <w:color w:val="auto"/>
                <w:sz w:val="24"/>
                <w:szCs w:val="21"/>
                <w:lang w:eastAsia="zh-CN"/>
              </w:rPr>
              <w:t>会。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正式</w:t>
            </w:r>
            <w:r>
              <w:rPr>
                <w:rFonts w:hint="eastAsia" w:ascii="仿宋_GB2312" w:eastAsia="仿宋_GB2312"/>
                <w:sz w:val="24"/>
                <w:szCs w:val="21"/>
              </w:rPr>
              <w:t>代表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讲学厅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（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校本部</w:t>
            </w:r>
            <w:r>
              <w:rPr>
                <w:rFonts w:hint="eastAsia" w:ascii="仿宋_GB2312" w:eastAsia="仿宋_GB2312"/>
                <w:sz w:val="24"/>
                <w:szCs w:val="21"/>
              </w:rPr>
              <w:t>第一教学楼208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室</w:t>
            </w:r>
            <w:r>
              <w:rPr>
                <w:rFonts w:hint="eastAsia" w:ascii="仿宋_GB2312" w:eastAsia="仿宋_GB2312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9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（二）主席团第三次会议（计票结束后召开）（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50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0）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1、总监票人报告计票结果；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2、确定当选人名单；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3、确定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新一届</w:t>
            </w:r>
            <w:r>
              <w:rPr>
                <w:rFonts w:hint="eastAsia" w:ascii="仿宋_GB2312" w:eastAsia="仿宋_GB2312"/>
                <w:sz w:val="24"/>
                <w:szCs w:val="21"/>
              </w:rPr>
              <w:t>工会“两委”第一次会议召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360" w:firstLineChars="1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集人。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主席团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成 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计算机科学学院会议室（校本部第一教学楼1212室）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896" w:type="dxa"/>
            <w:noWrap w:val="0"/>
            <w:vAlign w:val="top"/>
          </w:tcPr>
          <w:p>
            <w:pPr>
              <w:spacing w:line="340" w:lineRule="exact"/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（三）大会闭幕式（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—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: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  <w:lang w:val="en-US" w:eastAsia="zh-CN"/>
              </w:rPr>
              <w:t>0</w:t>
            </w:r>
            <w:r>
              <w:rPr>
                <w:rFonts w:hint="eastAsia" w:ascii="黑体" w:hAnsi="华文中宋" w:eastAsia="黑体"/>
                <w:b/>
                <w:bCs/>
                <w:spacing w:val="-8"/>
                <w:sz w:val="24"/>
                <w:szCs w:val="21"/>
              </w:rPr>
              <w:t>0）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1、总监票人向大会报告选举计票结果；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2、主持人宣布选举结果；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、通过大会决议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（草案）</w:t>
            </w:r>
            <w:r>
              <w:rPr>
                <w:rFonts w:hint="eastAsia" w:ascii="仿宋_GB2312" w:eastAsia="仿宋_GB2312"/>
                <w:sz w:val="24"/>
                <w:szCs w:val="21"/>
              </w:rPr>
              <w:t>；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校长骆少明</w:t>
            </w:r>
            <w:r>
              <w:rPr>
                <w:rFonts w:hint="eastAsia" w:ascii="仿宋_GB2312" w:eastAsia="仿宋_GB2312"/>
                <w:sz w:val="24"/>
                <w:szCs w:val="21"/>
              </w:rPr>
              <w:t>致闭幕词；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/>
                <w:b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1"/>
              </w:rPr>
              <w:t>、宣布大会闭幕，奏《国际歌》。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贺勇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正式</w:t>
            </w:r>
            <w:r>
              <w:rPr>
                <w:rFonts w:hint="eastAsia" w:ascii="仿宋_GB2312" w:eastAsia="仿宋_GB2312"/>
                <w:sz w:val="24"/>
                <w:szCs w:val="21"/>
              </w:rPr>
              <w:t>代表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特邀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代表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列席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代表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讲学厅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（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校本部</w:t>
            </w:r>
            <w:r>
              <w:rPr>
                <w:rFonts w:hint="eastAsia" w:ascii="仿宋_GB2312" w:eastAsia="仿宋_GB2312"/>
                <w:sz w:val="24"/>
                <w:szCs w:val="21"/>
              </w:rPr>
              <w:t>第一教学楼208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室</w:t>
            </w:r>
            <w:r>
              <w:rPr>
                <w:rFonts w:hint="eastAsia" w:ascii="仿宋_GB2312" w:eastAsia="仿宋_GB2312"/>
                <w:sz w:val="24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7" w:hanging="422" w:hangingChars="200"/>
        <w:textAlignment w:val="auto"/>
        <w:rPr>
          <w:rFonts w:hint="eastAsia" w:ascii="宋体" w:hAns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注：1、大会闭幕后，新当选的“两委”委员合影。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2、召开新一届工会“两委”第一次全体会议，会议地点：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（1）工会委员会第一次全体</w:t>
      </w:r>
      <w:r>
        <w:rPr>
          <w:rFonts w:hint="eastAsia" w:ascii="宋体" w:hAnsi="宋体" w:cs="宋体"/>
          <w:color w:val="000000"/>
          <w:lang w:eastAsia="zh-CN"/>
        </w:rPr>
        <w:t>委员</w:t>
      </w:r>
      <w:r>
        <w:rPr>
          <w:rFonts w:hint="eastAsia" w:ascii="宋体" w:hAnsi="宋体" w:cs="宋体"/>
          <w:color w:val="000000"/>
        </w:rPr>
        <w:t>会议在</w:t>
      </w:r>
      <w:r>
        <w:rPr>
          <w:rFonts w:hint="eastAsia" w:ascii="宋体" w:hAnsi="宋体" w:cs="宋体"/>
          <w:color w:val="000000"/>
          <w:lang w:eastAsia="zh-CN"/>
        </w:rPr>
        <w:t>计算机科</w:t>
      </w:r>
      <w:r>
        <w:rPr>
          <w:rFonts w:hint="eastAsia" w:ascii="宋体" w:hAnsi="宋体" w:cs="宋体"/>
          <w:color w:val="000000"/>
        </w:rPr>
        <w:t>学学院会议室（</w:t>
      </w:r>
      <w:r>
        <w:rPr>
          <w:rFonts w:hint="eastAsia" w:ascii="宋体" w:hAnsi="宋体" w:cs="宋体"/>
          <w:color w:val="000000"/>
          <w:lang w:eastAsia="zh-CN"/>
        </w:rPr>
        <w:t>校</w:t>
      </w:r>
      <w:r>
        <w:rPr>
          <w:rFonts w:hint="eastAsia" w:ascii="宋体" w:hAnsi="宋体" w:cs="宋体"/>
          <w:color w:val="000000"/>
        </w:rPr>
        <w:t>本部</w:t>
      </w:r>
      <w:r>
        <w:rPr>
          <w:rFonts w:hint="eastAsia" w:ascii="宋体" w:hAnsi="宋体" w:cs="宋体"/>
          <w:color w:val="000000"/>
          <w:lang w:eastAsia="zh-CN"/>
        </w:rPr>
        <w:t>第</w:t>
      </w:r>
      <w:r>
        <w:rPr>
          <w:rFonts w:hint="eastAsia" w:ascii="宋体" w:hAnsi="宋体" w:cs="宋体"/>
          <w:color w:val="000000"/>
        </w:rPr>
        <w:t>一</w:t>
      </w:r>
      <w:r>
        <w:rPr>
          <w:rFonts w:hint="eastAsia" w:ascii="宋体" w:hAnsi="宋体" w:cs="宋体"/>
          <w:color w:val="000000"/>
          <w:lang w:eastAsia="zh-CN"/>
        </w:rPr>
        <w:t>教学楼</w:t>
      </w:r>
      <w:r>
        <w:rPr>
          <w:rFonts w:hint="eastAsia" w:ascii="宋体" w:hAnsi="宋体" w:cs="宋体"/>
          <w:color w:val="000000"/>
        </w:rPr>
        <w:t>12</w:t>
      </w:r>
      <w:r>
        <w:rPr>
          <w:rFonts w:hint="eastAsia" w:ascii="宋体" w:hAnsi="宋体" w:cs="宋体"/>
          <w:color w:val="000000"/>
          <w:lang w:eastAsia="zh-CN"/>
        </w:rPr>
        <w:t>楼</w:t>
      </w:r>
      <w:r>
        <w:rPr>
          <w:rFonts w:hint="eastAsia" w:ascii="宋体" w:hAnsi="宋体" w:cs="宋体"/>
          <w:color w:val="000000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（2）工会经费审查委员会第一次全体</w:t>
      </w:r>
      <w:r>
        <w:rPr>
          <w:rFonts w:hint="eastAsia" w:ascii="宋体" w:hAnsi="宋体" w:cs="宋体"/>
          <w:color w:val="000000"/>
          <w:lang w:eastAsia="zh-CN"/>
        </w:rPr>
        <w:t>委员</w:t>
      </w:r>
      <w:r>
        <w:rPr>
          <w:rFonts w:hint="eastAsia" w:ascii="宋体" w:hAnsi="宋体" w:cs="宋体"/>
          <w:color w:val="000000"/>
        </w:rPr>
        <w:t>会议在</w:t>
      </w:r>
      <w:r>
        <w:rPr>
          <w:rFonts w:hint="eastAsia" w:ascii="宋体" w:hAnsi="宋体" w:cs="宋体"/>
          <w:color w:val="000000"/>
          <w:lang w:eastAsia="zh-CN"/>
        </w:rPr>
        <w:t>数学与系统科学学院会议室（校本部第一教学楼</w:t>
      </w:r>
      <w:r>
        <w:rPr>
          <w:rFonts w:hint="eastAsia" w:ascii="宋体" w:hAnsi="宋体" w:cs="宋体"/>
          <w:color w:val="000000"/>
          <w:lang w:val="en-US" w:eastAsia="zh-CN"/>
        </w:rPr>
        <w:t>12楼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hint="eastAsia" w:ascii="宋体" w:hAnsi="宋体" w:cs="宋体"/>
          <w:color w:val="00000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9769C"/>
    <w:rsid w:val="1DD85106"/>
    <w:rsid w:val="1FBC36AD"/>
    <w:rsid w:val="22A408D6"/>
    <w:rsid w:val="43B9769C"/>
    <w:rsid w:val="5C7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黑体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2019-04-09T08:49:00Z</dcterms:created>
  <dc:creator>斜阳草树</dc:creator>
  <cp:lastModifiedBy>斜阳草树</cp:lastModifiedBy>
  <cp:lastPrinted>2019-04-09T10:47:00Z</cp:lastPrinted>
  <dcterms:modified xsi:type="dcterms:W3CDTF">2019-04-10T01:32:11Z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